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Ind w:w="0" w:type="dxa"/>
        <w:tblLayout w:type="autofit"/>
        <w:tblCellMar>
          <w:top w:w="0" w:type="dxa"/>
          <w:left w:w="108" w:type="dxa"/>
          <w:bottom w:w="0" w:type="dxa"/>
          <w:right w:w="108" w:type="dxa"/>
        </w:tblCellMar>
      </w:tblPr>
      <w:tblGrid>
        <w:gridCol w:w="2840"/>
        <w:gridCol w:w="2841"/>
        <w:gridCol w:w="2841"/>
      </w:tblGrid>
      <w:tr w14:paraId="4DC53681">
        <w:tblPrEx>
          <w:tblCellMar>
            <w:top w:w="0" w:type="dxa"/>
            <w:left w:w="108" w:type="dxa"/>
            <w:bottom w:w="0" w:type="dxa"/>
            <w:right w:w="108" w:type="dxa"/>
          </w:tblCellMar>
        </w:tblPrEx>
        <w:tc>
          <w:tcPr>
            <w:tcW w:w="1666" w:type="pct"/>
          </w:tcPr>
          <w:p w14:paraId="5EFBED91">
            <w:pPr>
              <w:adjustRightInd w:val="0"/>
              <w:snapToGrid w:val="0"/>
              <w:spacing w:line="440" w:lineRule="exact"/>
              <w:rPr>
                <w:rFonts w:eastAsia="宋体"/>
                <w:sz w:val="24"/>
              </w:rPr>
            </w:pPr>
            <w:r>
              <w:rPr>
                <w:rFonts w:eastAsia="宋体"/>
                <w:sz w:val="24"/>
              </w:rPr>
              <w:t>证券代码：000881</w:t>
            </w:r>
          </w:p>
        </w:tc>
        <w:tc>
          <w:tcPr>
            <w:tcW w:w="1667" w:type="pct"/>
          </w:tcPr>
          <w:p w14:paraId="0CB5CF00">
            <w:pPr>
              <w:adjustRightInd w:val="0"/>
              <w:snapToGrid w:val="0"/>
              <w:spacing w:line="440" w:lineRule="exact"/>
              <w:jc w:val="center"/>
              <w:rPr>
                <w:rFonts w:eastAsia="宋体"/>
                <w:sz w:val="24"/>
              </w:rPr>
            </w:pPr>
            <w:r>
              <w:rPr>
                <w:rFonts w:eastAsia="宋体"/>
                <w:sz w:val="24"/>
              </w:rPr>
              <w:t>证券简称：中广核技</w:t>
            </w:r>
          </w:p>
        </w:tc>
        <w:tc>
          <w:tcPr>
            <w:tcW w:w="1667" w:type="pct"/>
          </w:tcPr>
          <w:p w14:paraId="3479E369">
            <w:pPr>
              <w:adjustRightInd w:val="0"/>
              <w:snapToGrid w:val="0"/>
              <w:spacing w:line="440" w:lineRule="exact"/>
              <w:jc w:val="right"/>
              <w:rPr>
                <w:rFonts w:hint="default" w:eastAsia="宋体"/>
                <w:sz w:val="24"/>
                <w:lang w:val="en-US" w:eastAsia="zh-CN"/>
              </w:rPr>
            </w:pPr>
            <w:r>
              <w:rPr>
                <w:rFonts w:eastAsia="宋体"/>
                <w:sz w:val="24"/>
              </w:rPr>
              <w:t>公告编号：</w:t>
            </w:r>
            <w:r>
              <w:rPr>
                <w:rFonts w:hint="eastAsia" w:eastAsia="宋体"/>
                <w:sz w:val="24"/>
                <w:lang w:val="en-US" w:eastAsia="zh-CN"/>
              </w:rPr>
              <w:t>2025-001</w:t>
            </w:r>
          </w:p>
        </w:tc>
      </w:tr>
    </w:tbl>
    <w:p w14:paraId="00A302F7">
      <w:pPr>
        <w:snapToGrid w:val="0"/>
        <w:spacing w:before="156" w:beforeLines="50"/>
        <w:jc w:val="center"/>
        <w:outlineLvl w:val="0"/>
        <w:rPr>
          <w:rFonts w:eastAsia="宋体"/>
          <w:b/>
          <w:sz w:val="36"/>
          <w:szCs w:val="36"/>
        </w:rPr>
      </w:pPr>
      <w:r>
        <w:rPr>
          <w:rFonts w:eastAsia="宋体"/>
          <w:b/>
          <w:sz w:val="36"/>
          <w:szCs w:val="36"/>
        </w:rPr>
        <w:t>中广核核技术发展股份有限公司</w:t>
      </w:r>
    </w:p>
    <w:p w14:paraId="0D9FFE8D">
      <w:pPr>
        <w:snapToGrid w:val="0"/>
        <w:jc w:val="center"/>
        <w:outlineLvl w:val="0"/>
        <w:rPr>
          <w:rFonts w:eastAsia="宋体"/>
          <w:b/>
          <w:sz w:val="36"/>
          <w:szCs w:val="36"/>
        </w:rPr>
      </w:pPr>
      <w:r>
        <w:rPr>
          <w:rFonts w:hint="eastAsia" w:eastAsia="宋体"/>
          <w:b/>
          <w:sz w:val="36"/>
          <w:szCs w:val="36"/>
        </w:rPr>
        <w:t>202</w:t>
      </w:r>
      <w:r>
        <w:rPr>
          <w:rFonts w:hint="eastAsia" w:eastAsia="宋体"/>
          <w:b/>
          <w:sz w:val="36"/>
          <w:szCs w:val="36"/>
          <w:lang w:val="en-US" w:eastAsia="zh-CN"/>
        </w:rPr>
        <w:t>4</w:t>
      </w:r>
      <w:r>
        <w:rPr>
          <w:rFonts w:hint="eastAsia" w:eastAsia="宋体"/>
          <w:b/>
          <w:sz w:val="36"/>
          <w:szCs w:val="36"/>
        </w:rPr>
        <w:t>年度业绩预告</w:t>
      </w:r>
    </w:p>
    <w:p w14:paraId="7A7AFEEE">
      <w:pPr>
        <w:snapToGrid w:val="0"/>
        <w:spacing w:before="156" w:beforeLines="50" w:line="360" w:lineRule="auto"/>
        <w:ind w:firstLine="422" w:firstLineChars="200"/>
        <w:rPr>
          <w:rFonts w:eastAsia="宋体"/>
          <w:b/>
          <w:szCs w:val="21"/>
        </w:rPr>
      </w:pPr>
      <w:r>
        <w:rPr>
          <w:rFonts w:eastAsia="宋体"/>
          <w:b/>
          <w:szCs w:val="21"/>
        </w:rPr>
        <w:t>本公司及董事会全体成员保证信息披露的内容真实、准确、完整，没有虚假记载、误导性陈述或者重大遗漏。</w:t>
      </w:r>
    </w:p>
    <w:p w14:paraId="0224655E">
      <w:pPr>
        <w:adjustRightInd w:val="0"/>
        <w:snapToGrid w:val="0"/>
        <w:spacing w:line="360" w:lineRule="auto"/>
        <w:ind w:firstLine="482" w:firstLineChars="200"/>
        <w:outlineLvl w:val="0"/>
        <w:rPr>
          <w:rFonts w:hint="eastAsia" w:eastAsia="宋体"/>
          <w:b/>
          <w:bCs w:val="0"/>
          <w:sz w:val="24"/>
          <w:szCs w:val="24"/>
        </w:rPr>
      </w:pPr>
      <w:r>
        <w:rPr>
          <w:rFonts w:hint="eastAsia" w:eastAsia="宋体"/>
          <w:b/>
          <w:bCs w:val="0"/>
          <w:sz w:val="24"/>
          <w:szCs w:val="24"/>
        </w:rPr>
        <w:t>一、本期业绩预计情况</w:t>
      </w:r>
    </w:p>
    <w:p w14:paraId="5097FF25">
      <w:pPr>
        <w:adjustRightInd w:val="0"/>
        <w:snapToGrid w:val="0"/>
        <w:spacing w:line="360" w:lineRule="auto"/>
        <w:ind w:firstLine="480" w:firstLineChars="200"/>
        <w:outlineLvl w:val="0"/>
        <w:rPr>
          <w:rFonts w:hint="eastAsia" w:eastAsia="宋体"/>
          <w:b w:val="0"/>
          <w:bCs/>
          <w:sz w:val="24"/>
          <w:szCs w:val="24"/>
        </w:rPr>
      </w:pPr>
      <w:r>
        <w:rPr>
          <w:rFonts w:hint="eastAsia" w:eastAsia="宋体"/>
          <w:b w:val="0"/>
          <w:bCs/>
          <w:sz w:val="24"/>
          <w:szCs w:val="24"/>
        </w:rPr>
        <w:t>（一）业绩预告期间</w:t>
      </w:r>
    </w:p>
    <w:p w14:paraId="43883085">
      <w:pPr>
        <w:adjustRightInd w:val="0"/>
        <w:snapToGrid w:val="0"/>
        <w:spacing w:line="360" w:lineRule="auto"/>
        <w:ind w:firstLine="480" w:firstLineChars="200"/>
        <w:outlineLvl w:val="0"/>
        <w:rPr>
          <w:rFonts w:hint="default" w:eastAsia="宋体"/>
          <w:b w:val="0"/>
          <w:bCs/>
          <w:sz w:val="24"/>
          <w:szCs w:val="24"/>
          <w:lang w:val="en-US" w:eastAsia="zh-CN"/>
        </w:rPr>
      </w:pPr>
      <w:r>
        <w:rPr>
          <w:rFonts w:hint="eastAsia" w:eastAsia="宋体"/>
          <w:b w:val="0"/>
          <w:bCs/>
          <w:sz w:val="24"/>
          <w:szCs w:val="24"/>
          <w:lang w:val="en-US" w:eastAsia="zh-CN"/>
        </w:rPr>
        <w:t>2024年1月1日至2024年12月31日</w:t>
      </w:r>
    </w:p>
    <w:p w14:paraId="55C16B27">
      <w:pPr>
        <w:adjustRightInd w:val="0"/>
        <w:snapToGrid w:val="0"/>
        <w:spacing w:line="360" w:lineRule="auto"/>
        <w:ind w:firstLine="480" w:firstLineChars="200"/>
        <w:outlineLvl w:val="0"/>
        <w:rPr>
          <w:rFonts w:hint="eastAsia" w:eastAsia="宋体"/>
          <w:b w:val="0"/>
          <w:bCs/>
          <w:sz w:val="24"/>
          <w:szCs w:val="24"/>
        </w:rPr>
      </w:pPr>
      <w:r>
        <w:rPr>
          <w:rFonts w:hint="eastAsia" w:eastAsia="宋体"/>
          <w:b w:val="0"/>
          <w:bCs/>
          <w:sz w:val="24"/>
          <w:szCs w:val="24"/>
        </w:rPr>
        <w:t>（二）业绩预告情况</w:t>
      </w:r>
    </w:p>
    <w:p w14:paraId="689E6AAF">
      <w:pPr>
        <w:adjustRightInd w:val="0"/>
        <w:snapToGrid w:val="0"/>
        <w:spacing w:line="360" w:lineRule="auto"/>
        <w:ind w:firstLine="480" w:firstLineChars="200"/>
        <w:outlineLvl w:val="0"/>
        <w:rPr>
          <w:rFonts w:hint="eastAsia" w:eastAsia="宋体"/>
          <w:b w:val="0"/>
          <w:bCs/>
          <w:sz w:val="24"/>
          <w:szCs w:val="24"/>
        </w:rPr>
      </w:pPr>
      <w:r>
        <w:rPr>
          <w:rFonts w:hint="eastAsia" w:eastAsia="宋体"/>
          <w:b w:val="0"/>
          <w:bCs/>
          <w:sz w:val="24"/>
          <w:szCs w:val="24"/>
        </w:rPr>
        <w:sym w:font="Wingdings 2" w:char="0052"/>
      </w:r>
      <w:r>
        <w:rPr>
          <w:rFonts w:hint="eastAsia" w:eastAsia="宋体"/>
          <w:b w:val="0"/>
          <w:bCs/>
          <w:sz w:val="24"/>
          <w:szCs w:val="24"/>
        </w:rPr>
        <w:t>预计净利润为负值</w:t>
      </w:r>
    </w:p>
    <w:tbl>
      <w:tblPr>
        <w:tblStyle w:val="3"/>
        <w:tblW w:w="50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0"/>
        <w:gridCol w:w="4262"/>
        <w:gridCol w:w="2409"/>
      </w:tblGrid>
      <w:tr w14:paraId="6F6D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6" w:type="pct"/>
            <w:tcBorders>
              <w:top w:val="single" w:color="auto" w:sz="4" w:space="0"/>
              <w:left w:val="single" w:color="auto" w:sz="4" w:space="0"/>
              <w:bottom w:val="single" w:color="auto" w:sz="4" w:space="0"/>
              <w:right w:val="single" w:color="auto" w:sz="4" w:space="0"/>
            </w:tcBorders>
            <w:vAlign w:val="center"/>
          </w:tcPr>
          <w:p w14:paraId="1D0EDEB4">
            <w:pPr>
              <w:pStyle w:val="5"/>
              <w:jc w:val="center"/>
              <w:rPr>
                <w:rFonts w:hint="eastAsia" w:ascii="宋体" w:hAnsi="宋体" w:eastAsia="宋体" w:cs="宋体"/>
                <w:b/>
                <w:color w:val="auto"/>
                <w:sz w:val="24"/>
              </w:rPr>
            </w:pPr>
            <w:r>
              <w:rPr>
                <w:rFonts w:hint="eastAsia" w:ascii="宋体" w:hAnsi="宋体" w:eastAsia="宋体" w:cs="宋体"/>
                <w:b/>
                <w:color w:val="auto"/>
                <w:sz w:val="24"/>
              </w:rPr>
              <w:t>项  目</w:t>
            </w:r>
          </w:p>
        </w:tc>
        <w:tc>
          <w:tcPr>
            <w:tcW w:w="2474" w:type="pct"/>
            <w:tcBorders>
              <w:top w:val="single" w:color="auto" w:sz="4" w:space="0"/>
              <w:left w:val="single" w:color="auto" w:sz="4" w:space="0"/>
              <w:bottom w:val="single" w:color="auto" w:sz="4" w:space="0"/>
              <w:right w:val="single" w:color="auto" w:sz="4" w:space="0"/>
            </w:tcBorders>
            <w:vAlign w:val="center"/>
          </w:tcPr>
          <w:p w14:paraId="436BE3C4">
            <w:pPr>
              <w:pStyle w:val="5"/>
              <w:jc w:val="center"/>
              <w:rPr>
                <w:rFonts w:hint="eastAsia" w:ascii="宋体" w:hAnsi="宋体" w:eastAsia="宋体" w:cs="宋体"/>
                <w:b/>
                <w:color w:val="auto"/>
                <w:sz w:val="24"/>
              </w:rPr>
            </w:pPr>
            <w:r>
              <w:rPr>
                <w:rFonts w:hint="eastAsia" w:ascii="宋体" w:hAnsi="宋体" w:eastAsia="宋体" w:cs="宋体"/>
                <w:b/>
                <w:color w:val="auto"/>
                <w:sz w:val="24"/>
              </w:rPr>
              <w:t>本报告期</w:t>
            </w:r>
          </w:p>
        </w:tc>
        <w:tc>
          <w:tcPr>
            <w:tcW w:w="1398" w:type="pct"/>
            <w:tcBorders>
              <w:top w:val="single" w:color="auto" w:sz="4" w:space="0"/>
              <w:left w:val="single" w:color="auto" w:sz="4" w:space="0"/>
              <w:bottom w:val="single" w:color="auto" w:sz="4" w:space="0"/>
              <w:right w:val="single" w:color="auto" w:sz="4" w:space="0"/>
            </w:tcBorders>
            <w:vAlign w:val="center"/>
          </w:tcPr>
          <w:p w14:paraId="2D9FCE93">
            <w:pPr>
              <w:pStyle w:val="5"/>
              <w:jc w:val="center"/>
              <w:rPr>
                <w:rFonts w:hint="eastAsia" w:ascii="宋体" w:hAnsi="宋体" w:eastAsia="宋体" w:cs="宋体"/>
                <w:b/>
                <w:color w:val="auto"/>
                <w:sz w:val="24"/>
              </w:rPr>
            </w:pPr>
            <w:r>
              <w:rPr>
                <w:rFonts w:hint="eastAsia" w:ascii="宋体" w:hAnsi="宋体" w:eastAsia="宋体" w:cs="宋体"/>
                <w:b/>
                <w:color w:val="auto"/>
                <w:sz w:val="24"/>
              </w:rPr>
              <w:t>上年同期</w:t>
            </w:r>
          </w:p>
        </w:tc>
      </w:tr>
      <w:tr w14:paraId="72DC5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6" w:type="pct"/>
            <w:tcBorders>
              <w:top w:val="single" w:color="auto" w:sz="4" w:space="0"/>
              <w:left w:val="single" w:color="auto" w:sz="4" w:space="0"/>
              <w:bottom w:val="single" w:color="auto" w:sz="4" w:space="0"/>
              <w:right w:val="single" w:color="auto" w:sz="4" w:space="0"/>
            </w:tcBorders>
            <w:vAlign w:val="center"/>
          </w:tcPr>
          <w:p w14:paraId="6C2DCF64">
            <w:pPr>
              <w:pStyle w:val="5"/>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归属于上市公司股东的净利润</w:t>
            </w:r>
          </w:p>
        </w:tc>
        <w:tc>
          <w:tcPr>
            <w:tcW w:w="4262" w:type="dxa"/>
            <w:tcBorders>
              <w:top w:val="single" w:color="auto" w:sz="4" w:space="0"/>
              <w:left w:val="single" w:color="auto" w:sz="4" w:space="0"/>
              <w:bottom w:val="single" w:color="auto" w:sz="4" w:space="0"/>
              <w:right w:val="single" w:color="auto" w:sz="4" w:space="0"/>
            </w:tcBorders>
            <w:vAlign w:val="center"/>
          </w:tcPr>
          <w:p w14:paraId="3340824F">
            <w:pPr>
              <w:keepNext w:val="0"/>
              <w:keepLines w:val="0"/>
              <w:widowControl/>
              <w:suppressLineNumbers w:val="0"/>
              <w:jc w:val="left"/>
              <w:textAlignment w:val="center"/>
              <w:rPr>
                <w:rFonts w:hint="default" w:ascii="Times New Roman" w:hAnsi="Times New Roman" w:eastAsia="宋体" w:cs="Times New Roman"/>
                <w:color w:val="auto"/>
                <w:sz w:val="24"/>
                <w:lang w:eastAsia="zh-CN"/>
              </w:rPr>
            </w:pPr>
            <w:r>
              <w:rPr>
                <w:rFonts w:hint="default" w:ascii="Times New Roman" w:hAnsi="Times New Roman" w:eastAsia="宋体" w:cs="Times New Roman"/>
                <w:i w:val="0"/>
                <w:iCs w:val="0"/>
                <w:color w:val="auto"/>
                <w:kern w:val="0"/>
                <w:sz w:val="24"/>
                <w:szCs w:val="24"/>
                <w:u w:val="none"/>
                <w:lang w:val="en-US" w:eastAsia="zh-CN" w:bidi="ar"/>
              </w:rPr>
              <w:t>亏损：29</w:t>
            </w:r>
            <w:r>
              <w:rPr>
                <w:rStyle w:val="6"/>
                <w:rFonts w:hint="default" w:ascii="Times New Roman" w:hAnsi="Times New Roman" w:eastAsia="宋体" w:cs="Times New Roman"/>
                <w:color w:val="auto"/>
                <w:lang w:val="en-US" w:eastAsia="zh-CN" w:bidi="ar"/>
              </w:rPr>
              <w:t>,000.00</w:t>
            </w:r>
            <w:r>
              <w:rPr>
                <w:rStyle w:val="7"/>
                <w:rFonts w:hint="default" w:ascii="Times New Roman" w:hAnsi="Times New Roman" w:cs="Times New Roman"/>
                <w:color w:val="auto"/>
                <w:lang w:val="en-US" w:eastAsia="zh-CN" w:bidi="ar"/>
              </w:rPr>
              <w:t>万元至42,000.00万元</w:t>
            </w:r>
          </w:p>
        </w:tc>
        <w:tc>
          <w:tcPr>
            <w:tcW w:w="2409" w:type="dxa"/>
            <w:tcBorders>
              <w:top w:val="single" w:color="auto" w:sz="4" w:space="0"/>
              <w:left w:val="single" w:color="auto" w:sz="4" w:space="0"/>
              <w:bottom w:val="single" w:color="auto" w:sz="4" w:space="0"/>
              <w:right w:val="single" w:color="auto" w:sz="4" w:space="0"/>
            </w:tcBorders>
            <w:vAlign w:val="center"/>
          </w:tcPr>
          <w:p w14:paraId="39B1335A">
            <w:pPr>
              <w:keepNext w:val="0"/>
              <w:keepLines w:val="0"/>
              <w:widowControl/>
              <w:suppressLineNumbers w:val="0"/>
              <w:jc w:val="both"/>
              <w:textAlignment w:val="center"/>
              <w:rPr>
                <w:rFonts w:hint="default" w:ascii="Times New Roman" w:hAnsi="Times New Roman" w:eastAsia="宋体"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亏损：73,716.39</w:t>
            </w:r>
            <w:r>
              <w:rPr>
                <w:rStyle w:val="9"/>
                <w:rFonts w:hint="default" w:ascii="Times New Roman" w:hAnsi="Times New Roman" w:cs="Times New Roman"/>
                <w:color w:val="auto"/>
                <w:lang w:val="en-US" w:eastAsia="zh-CN" w:bidi="ar"/>
              </w:rPr>
              <w:t>万元</w:t>
            </w:r>
          </w:p>
        </w:tc>
      </w:tr>
      <w:tr w14:paraId="7FA9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6" w:type="pct"/>
            <w:tcBorders>
              <w:top w:val="single" w:color="auto" w:sz="4" w:space="0"/>
              <w:left w:val="single" w:color="auto" w:sz="4" w:space="0"/>
              <w:bottom w:val="single" w:color="auto" w:sz="4" w:space="0"/>
              <w:right w:val="single" w:color="auto" w:sz="4" w:space="0"/>
            </w:tcBorders>
            <w:vAlign w:val="center"/>
          </w:tcPr>
          <w:p w14:paraId="070F61D5">
            <w:pPr>
              <w:pStyle w:val="5"/>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扣除非经常性损益后的净利润</w:t>
            </w:r>
          </w:p>
        </w:tc>
        <w:tc>
          <w:tcPr>
            <w:tcW w:w="4262" w:type="dxa"/>
            <w:tcBorders>
              <w:top w:val="single" w:color="auto" w:sz="4" w:space="0"/>
              <w:left w:val="single" w:color="auto" w:sz="4" w:space="0"/>
              <w:bottom w:val="single" w:color="auto" w:sz="4" w:space="0"/>
              <w:right w:val="single" w:color="auto" w:sz="4" w:space="0"/>
            </w:tcBorders>
            <w:vAlign w:val="center"/>
          </w:tcPr>
          <w:p w14:paraId="2C5CBE28">
            <w:pPr>
              <w:keepNext w:val="0"/>
              <w:keepLines w:val="0"/>
              <w:widowControl/>
              <w:suppressLineNumbers w:val="0"/>
              <w:jc w:val="left"/>
              <w:textAlignment w:val="center"/>
              <w:rPr>
                <w:rFonts w:hint="default" w:ascii="Times New Roman" w:hAnsi="Times New Roman" w:eastAsia="宋体"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亏损：45,000.00万元至64,000.00万元</w:t>
            </w:r>
          </w:p>
        </w:tc>
        <w:tc>
          <w:tcPr>
            <w:tcW w:w="2409" w:type="dxa"/>
            <w:tcBorders>
              <w:top w:val="single" w:color="auto" w:sz="4" w:space="0"/>
              <w:left w:val="single" w:color="auto" w:sz="4" w:space="0"/>
              <w:bottom w:val="single" w:color="auto" w:sz="4" w:space="0"/>
              <w:right w:val="single" w:color="auto" w:sz="4" w:space="0"/>
            </w:tcBorders>
            <w:vAlign w:val="center"/>
          </w:tcPr>
          <w:p w14:paraId="10E1BFC1">
            <w:pPr>
              <w:keepNext w:val="0"/>
              <w:keepLines w:val="0"/>
              <w:widowControl/>
              <w:suppressLineNumbers w:val="0"/>
              <w:jc w:val="both"/>
              <w:textAlignment w:val="center"/>
              <w:rPr>
                <w:rFonts w:hint="default" w:ascii="Times New Roman" w:hAnsi="Times New Roman" w:eastAsia="宋体"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亏损：96,064.25万元</w:t>
            </w:r>
          </w:p>
        </w:tc>
      </w:tr>
      <w:tr w14:paraId="436A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26" w:type="pct"/>
            <w:tcBorders>
              <w:top w:val="single" w:color="auto" w:sz="4" w:space="0"/>
              <w:left w:val="single" w:color="auto" w:sz="4" w:space="0"/>
              <w:bottom w:val="single" w:color="auto" w:sz="4" w:space="0"/>
              <w:right w:val="single" w:color="auto" w:sz="4" w:space="0"/>
            </w:tcBorders>
            <w:vAlign w:val="center"/>
          </w:tcPr>
          <w:p w14:paraId="7F5AABB4">
            <w:pPr>
              <w:pStyle w:val="5"/>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基本每股收益</w:t>
            </w:r>
          </w:p>
        </w:tc>
        <w:tc>
          <w:tcPr>
            <w:tcW w:w="4262" w:type="dxa"/>
            <w:tcBorders>
              <w:top w:val="single" w:color="auto" w:sz="4" w:space="0"/>
              <w:left w:val="single" w:color="auto" w:sz="4" w:space="0"/>
              <w:bottom w:val="single" w:color="auto" w:sz="4" w:space="0"/>
              <w:right w:val="single" w:color="auto" w:sz="4" w:space="0"/>
            </w:tcBorders>
            <w:vAlign w:val="center"/>
          </w:tcPr>
          <w:p w14:paraId="51C15B38">
            <w:pPr>
              <w:keepNext w:val="0"/>
              <w:keepLines w:val="0"/>
              <w:widowControl/>
              <w:suppressLineNumbers w:val="0"/>
              <w:jc w:val="both"/>
              <w:textAlignment w:val="center"/>
              <w:rPr>
                <w:rFonts w:hint="default" w:ascii="Times New Roman" w:hAnsi="Times New Roman" w:eastAsia="宋体"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亏损：</w:t>
            </w:r>
            <w:r>
              <w:rPr>
                <w:rStyle w:val="6"/>
                <w:rFonts w:hint="default" w:ascii="Times New Roman" w:hAnsi="Times New Roman" w:eastAsia="宋体" w:cs="Times New Roman"/>
                <w:color w:val="auto"/>
                <w:lang w:val="en-US" w:eastAsia="zh-CN" w:bidi="ar"/>
              </w:rPr>
              <w:t>0.3067</w:t>
            </w:r>
            <w:r>
              <w:rPr>
                <w:rStyle w:val="7"/>
                <w:rFonts w:hint="default" w:ascii="Times New Roman" w:hAnsi="Times New Roman" w:cs="Times New Roman"/>
                <w:color w:val="auto"/>
                <w:lang w:val="en-US" w:eastAsia="zh-CN" w:bidi="ar"/>
              </w:rPr>
              <w:t>元</w:t>
            </w:r>
            <w:r>
              <w:rPr>
                <w:rStyle w:val="6"/>
                <w:rFonts w:hint="default" w:ascii="Times New Roman" w:hAnsi="Times New Roman" w:eastAsia="宋体" w:cs="Times New Roman"/>
                <w:color w:val="auto"/>
                <w:lang w:val="en-US" w:eastAsia="zh-CN" w:bidi="ar"/>
              </w:rPr>
              <w:t>/</w:t>
            </w:r>
            <w:r>
              <w:rPr>
                <w:rStyle w:val="7"/>
                <w:rFonts w:hint="default" w:ascii="Times New Roman" w:hAnsi="Times New Roman" w:cs="Times New Roman"/>
                <w:color w:val="auto"/>
                <w:lang w:val="en-US" w:eastAsia="zh-CN" w:bidi="ar"/>
              </w:rPr>
              <w:t>股至</w:t>
            </w:r>
            <w:r>
              <w:rPr>
                <w:rStyle w:val="6"/>
                <w:rFonts w:hint="default" w:ascii="Times New Roman" w:hAnsi="Times New Roman" w:eastAsia="宋体" w:cs="Times New Roman"/>
                <w:color w:val="auto"/>
                <w:lang w:val="en-US" w:eastAsia="zh-CN" w:bidi="ar"/>
              </w:rPr>
              <w:t>0.4442</w:t>
            </w:r>
            <w:r>
              <w:rPr>
                <w:rStyle w:val="7"/>
                <w:rFonts w:hint="default" w:ascii="Times New Roman" w:hAnsi="Times New Roman" w:cs="Times New Roman"/>
                <w:color w:val="auto"/>
                <w:lang w:val="en-US" w:eastAsia="zh-CN" w:bidi="ar"/>
              </w:rPr>
              <w:t>元</w:t>
            </w:r>
            <w:r>
              <w:rPr>
                <w:rStyle w:val="6"/>
                <w:rFonts w:hint="default" w:ascii="Times New Roman" w:hAnsi="Times New Roman" w:eastAsia="宋体" w:cs="Times New Roman"/>
                <w:color w:val="auto"/>
                <w:lang w:val="en-US" w:eastAsia="zh-CN" w:bidi="ar"/>
              </w:rPr>
              <w:t>/</w:t>
            </w:r>
            <w:r>
              <w:rPr>
                <w:rStyle w:val="7"/>
                <w:rFonts w:hint="default" w:ascii="Times New Roman" w:hAnsi="Times New Roman" w:cs="Times New Roman"/>
                <w:color w:val="auto"/>
                <w:lang w:val="en-US" w:eastAsia="zh-CN" w:bidi="ar"/>
              </w:rPr>
              <w:t>股</w:t>
            </w:r>
          </w:p>
        </w:tc>
        <w:tc>
          <w:tcPr>
            <w:tcW w:w="2409" w:type="dxa"/>
            <w:tcBorders>
              <w:top w:val="single" w:color="auto" w:sz="4" w:space="0"/>
              <w:left w:val="single" w:color="auto" w:sz="4" w:space="0"/>
              <w:bottom w:val="single" w:color="auto" w:sz="4" w:space="0"/>
              <w:right w:val="single" w:color="auto" w:sz="4" w:space="0"/>
            </w:tcBorders>
            <w:vAlign w:val="center"/>
          </w:tcPr>
          <w:p w14:paraId="3CC94C5D">
            <w:pPr>
              <w:keepNext w:val="0"/>
              <w:keepLines w:val="0"/>
              <w:widowControl/>
              <w:suppressLineNumbers w:val="0"/>
              <w:jc w:val="both"/>
              <w:textAlignment w:val="center"/>
              <w:rPr>
                <w:rFonts w:hint="default" w:ascii="Times New Roman" w:hAnsi="Times New Roman" w:eastAsia="宋体" w:cs="Times New Roman"/>
                <w:color w:val="auto"/>
                <w:sz w:val="24"/>
              </w:rPr>
            </w:pPr>
            <w:r>
              <w:rPr>
                <w:rFonts w:hint="default" w:ascii="Times New Roman" w:hAnsi="Times New Roman" w:eastAsia="宋体" w:cs="Times New Roman"/>
                <w:i w:val="0"/>
                <w:iCs w:val="0"/>
                <w:color w:val="auto"/>
                <w:kern w:val="0"/>
                <w:sz w:val="24"/>
                <w:szCs w:val="24"/>
                <w:u w:val="none"/>
                <w:lang w:val="en-US" w:eastAsia="zh-CN" w:bidi="ar"/>
              </w:rPr>
              <w:t>亏损：</w:t>
            </w:r>
            <w:r>
              <w:rPr>
                <w:rStyle w:val="8"/>
                <w:rFonts w:hint="default" w:ascii="Times New Roman" w:hAnsi="Times New Roman" w:eastAsia="宋体" w:cs="Times New Roman"/>
                <w:color w:val="auto"/>
                <w:lang w:val="en-US" w:eastAsia="zh-CN" w:bidi="ar"/>
              </w:rPr>
              <w:t>0.7797</w:t>
            </w:r>
            <w:r>
              <w:rPr>
                <w:rStyle w:val="9"/>
                <w:rFonts w:hint="default" w:ascii="Times New Roman" w:hAnsi="Times New Roman" w:cs="Times New Roman"/>
                <w:color w:val="auto"/>
                <w:lang w:val="en-US" w:eastAsia="zh-CN" w:bidi="ar"/>
              </w:rPr>
              <w:t>元</w:t>
            </w:r>
            <w:r>
              <w:rPr>
                <w:rStyle w:val="8"/>
                <w:rFonts w:hint="default" w:ascii="Times New Roman" w:hAnsi="Times New Roman" w:eastAsia="宋体" w:cs="Times New Roman"/>
                <w:color w:val="auto"/>
                <w:lang w:val="en-US" w:eastAsia="zh-CN" w:bidi="ar"/>
              </w:rPr>
              <w:t>/</w:t>
            </w:r>
            <w:r>
              <w:rPr>
                <w:rStyle w:val="9"/>
                <w:rFonts w:hint="default" w:ascii="Times New Roman" w:hAnsi="Times New Roman" w:cs="Times New Roman"/>
                <w:color w:val="auto"/>
                <w:lang w:val="en-US" w:eastAsia="zh-CN" w:bidi="ar"/>
              </w:rPr>
              <w:t>股</w:t>
            </w:r>
          </w:p>
        </w:tc>
      </w:tr>
    </w:tbl>
    <w:p w14:paraId="3EB6C21C">
      <w:pPr>
        <w:adjustRightInd w:val="0"/>
        <w:snapToGrid w:val="0"/>
        <w:spacing w:line="360" w:lineRule="auto"/>
        <w:ind w:firstLine="482" w:firstLineChars="200"/>
        <w:outlineLvl w:val="0"/>
        <w:rPr>
          <w:rFonts w:hint="eastAsia" w:eastAsia="宋体"/>
          <w:b/>
          <w:bCs w:val="0"/>
          <w:sz w:val="24"/>
          <w:szCs w:val="24"/>
        </w:rPr>
      </w:pPr>
      <w:r>
        <w:rPr>
          <w:rFonts w:hint="eastAsia" w:eastAsia="宋体"/>
          <w:b/>
          <w:bCs w:val="0"/>
          <w:sz w:val="24"/>
          <w:szCs w:val="24"/>
        </w:rPr>
        <w:t>二、与会计师事务所沟通情况</w:t>
      </w:r>
    </w:p>
    <w:p w14:paraId="3DE3B911">
      <w:pPr>
        <w:adjustRightInd w:val="0"/>
        <w:snapToGrid w:val="0"/>
        <w:spacing w:line="360" w:lineRule="auto"/>
        <w:ind w:firstLine="480" w:firstLineChars="200"/>
        <w:outlineLvl w:val="0"/>
        <w:rPr>
          <w:rFonts w:hint="eastAsia" w:eastAsia="宋体"/>
          <w:b w:val="0"/>
          <w:bCs/>
          <w:sz w:val="22"/>
          <w:szCs w:val="22"/>
          <w:lang w:eastAsia="zh-CN"/>
        </w:rPr>
      </w:pPr>
      <w:r>
        <w:rPr>
          <w:rFonts w:hint="eastAsia" w:eastAsia="宋体"/>
          <w:b w:val="0"/>
          <w:bCs/>
          <w:sz w:val="24"/>
          <w:szCs w:val="24"/>
          <w:lang w:val="en-US" w:eastAsia="zh-CN"/>
        </w:rPr>
        <w:t>本次</w:t>
      </w:r>
      <w:r>
        <w:rPr>
          <w:rFonts w:hint="eastAsia" w:eastAsia="宋体"/>
          <w:b w:val="0"/>
          <w:bCs/>
          <w:sz w:val="24"/>
          <w:szCs w:val="24"/>
        </w:rPr>
        <w:t>业绩预告</w:t>
      </w:r>
      <w:r>
        <w:rPr>
          <w:rFonts w:hint="eastAsia" w:eastAsia="宋体"/>
          <w:b w:val="0"/>
          <w:bCs/>
          <w:sz w:val="24"/>
          <w:szCs w:val="24"/>
          <w:lang w:val="en-US" w:eastAsia="zh-CN"/>
        </w:rPr>
        <w:t>未</w:t>
      </w:r>
      <w:r>
        <w:rPr>
          <w:rFonts w:hint="eastAsia" w:eastAsia="宋体"/>
          <w:b w:val="0"/>
          <w:bCs/>
          <w:sz w:val="24"/>
          <w:szCs w:val="24"/>
        </w:rPr>
        <w:t>经过注册会计师审计</w:t>
      </w:r>
      <w:r>
        <w:rPr>
          <w:rFonts w:hint="eastAsia" w:eastAsia="宋体"/>
          <w:b w:val="0"/>
          <w:bCs/>
          <w:sz w:val="24"/>
          <w:szCs w:val="24"/>
          <w:lang w:eastAsia="zh-CN"/>
        </w:rPr>
        <w:t>。公司就本次业绩预告与为公司提供年度审计服务的会计师事务所签字注册会计师进行了预沟通，双方在本次业绩预告方面不存在分歧。</w:t>
      </w:r>
    </w:p>
    <w:p w14:paraId="1C1C82B9">
      <w:pPr>
        <w:adjustRightInd w:val="0"/>
        <w:snapToGrid w:val="0"/>
        <w:spacing w:line="360" w:lineRule="auto"/>
        <w:ind w:firstLine="482" w:firstLineChars="200"/>
        <w:outlineLvl w:val="0"/>
        <w:rPr>
          <w:rFonts w:hint="default" w:eastAsia="宋体"/>
          <w:b/>
          <w:bCs w:val="0"/>
          <w:sz w:val="24"/>
          <w:szCs w:val="24"/>
          <w:lang w:val="en-US" w:eastAsia="zh-CN"/>
        </w:rPr>
      </w:pPr>
      <w:r>
        <w:rPr>
          <w:rFonts w:hint="eastAsia" w:eastAsia="宋体"/>
          <w:b/>
          <w:bCs w:val="0"/>
          <w:sz w:val="24"/>
          <w:szCs w:val="24"/>
          <w:lang w:val="en-US" w:eastAsia="zh-CN"/>
        </w:rPr>
        <w:t>三、业绩变动原因说明</w:t>
      </w:r>
    </w:p>
    <w:p w14:paraId="432D2F7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0"/>
        <w:rPr>
          <w:rFonts w:hint="default" w:eastAsia="宋体"/>
          <w:b w:val="0"/>
          <w:bCs/>
          <w:color w:val="auto"/>
          <w:sz w:val="24"/>
          <w:szCs w:val="24"/>
          <w:lang w:val="en-US" w:eastAsia="zh-CN"/>
        </w:rPr>
      </w:pPr>
      <w:r>
        <w:rPr>
          <w:rFonts w:hint="eastAsia" w:ascii="Times New Roman" w:hAnsi="Times New Roman" w:eastAsia="宋体" w:cs="Times New Roman"/>
          <w:b w:val="0"/>
          <w:bCs/>
          <w:sz w:val="24"/>
          <w:szCs w:val="24"/>
          <w:lang w:val="en-US" w:eastAsia="zh-CN"/>
        </w:rPr>
        <w:t>2024年，公司保持“A+”战略定力，经营管理、创新发展、改革攻坚等工作稳步开展，加速器、医疗健康业务取得积极进展。相较2023年，公司2024年亏损额有所减少，但受以下因素影响，公司2024年预计净利润为负值，主要原因如下：</w:t>
      </w:r>
      <w:bookmarkStart w:id="0" w:name="_GoBack"/>
      <w:bookmarkEnd w:id="0"/>
    </w:p>
    <w:p w14:paraId="7A20F8BC">
      <w:pPr>
        <w:numPr>
          <w:ilvl w:val="-1"/>
          <w:numId w:val="0"/>
        </w:numPr>
        <w:adjustRightInd w:val="0"/>
        <w:snapToGrid w:val="0"/>
        <w:spacing w:line="360" w:lineRule="auto"/>
        <w:ind w:firstLine="480" w:firstLineChars="200"/>
        <w:outlineLvl w:val="0"/>
        <w:rPr>
          <w:rFonts w:hint="eastAsia" w:eastAsia="宋体"/>
          <w:b w:val="0"/>
          <w:bCs/>
          <w:color w:val="auto"/>
          <w:sz w:val="24"/>
          <w:szCs w:val="24"/>
          <w:lang w:val="en-US" w:eastAsia="zh-CN"/>
        </w:rPr>
      </w:pPr>
      <w:r>
        <w:rPr>
          <w:rFonts w:hint="eastAsia" w:eastAsia="宋体"/>
          <w:b w:val="0"/>
          <w:bCs/>
          <w:color w:val="auto"/>
          <w:sz w:val="24"/>
          <w:szCs w:val="24"/>
          <w:lang w:val="en-US" w:eastAsia="zh-CN"/>
        </w:rPr>
        <w:t>1.公司持续深耕新材料业务市场，市场份额保持稳定，</w:t>
      </w:r>
      <w:r>
        <w:rPr>
          <w:rFonts w:hint="eastAsia" w:eastAsia="宋体"/>
          <w:bCs/>
          <w:color w:val="auto"/>
          <w:sz w:val="24"/>
          <w:szCs w:val="24"/>
        </w:rPr>
        <w:t>但受产业周期调整、市场竞争加剧等影响，产品价格承压，</w:t>
      </w:r>
      <w:r>
        <w:rPr>
          <w:rFonts w:hint="eastAsia" w:eastAsia="宋体"/>
          <w:b w:val="0"/>
          <w:bCs/>
          <w:color w:val="auto"/>
          <w:sz w:val="24"/>
          <w:szCs w:val="24"/>
          <w:lang w:val="en-US" w:eastAsia="zh-CN"/>
        </w:rPr>
        <w:t>毛利不及预期；</w:t>
      </w:r>
    </w:p>
    <w:p w14:paraId="51B8CF5F">
      <w:pPr>
        <w:numPr>
          <w:ilvl w:val="0"/>
          <w:numId w:val="0"/>
        </w:numPr>
        <w:adjustRightInd w:val="0"/>
        <w:snapToGrid w:val="0"/>
        <w:spacing w:line="360" w:lineRule="auto"/>
        <w:ind w:firstLine="480" w:firstLineChars="200"/>
        <w:outlineLvl w:val="0"/>
        <w:rPr>
          <w:rFonts w:hint="default" w:eastAsia="宋体"/>
          <w:b w:val="0"/>
          <w:bCs/>
          <w:color w:val="auto"/>
          <w:sz w:val="24"/>
          <w:szCs w:val="24"/>
          <w:lang w:val="en-US" w:eastAsia="zh-CN"/>
        </w:rPr>
      </w:pPr>
      <w:r>
        <w:rPr>
          <w:rFonts w:hint="eastAsia" w:eastAsia="宋体"/>
          <w:b w:val="0"/>
          <w:bCs/>
          <w:color w:val="auto"/>
          <w:sz w:val="24"/>
          <w:szCs w:val="24"/>
          <w:lang w:val="en-US" w:eastAsia="zh-CN"/>
        </w:rPr>
        <w:t>2.公司进一步优化产业结构、大力促进转型升级，持续加大对培育的医疗健康、核环保、硅光电倍增器业务的基础建设、研发及</w:t>
      </w:r>
      <w:r>
        <w:rPr>
          <w:rFonts w:hint="default" w:eastAsia="宋体"/>
          <w:b w:val="0"/>
          <w:bCs/>
          <w:color w:val="auto"/>
          <w:sz w:val="24"/>
          <w:szCs w:val="24"/>
          <w:lang w:eastAsia="zh-CN"/>
        </w:rPr>
        <w:t>业务推广</w:t>
      </w:r>
      <w:r>
        <w:rPr>
          <w:rFonts w:hint="eastAsia" w:eastAsia="宋体"/>
          <w:b w:val="0"/>
          <w:bCs/>
          <w:color w:val="auto"/>
          <w:sz w:val="24"/>
          <w:szCs w:val="24"/>
          <w:lang w:val="en-US" w:eastAsia="zh-CN"/>
        </w:rPr>
        <w:t>等投入导致上述业务亏损；</w:t>
      </w:r>
    </w:p>
    <w:p w14:paraId="4633E7ED">
      <w:pPr>
        <w:adjustRightInd w:val="0"/>
        <w:snapToGrid w:val="0"/>
        <w:spacing w:line="360" w:lineRule="auto"/>
        <w:ind w:firstLine="480" w:firstLineChars="200"/>
        <w:outlineLvl w:val="0"/>
        <w:rPr>
          <w:rFonts w:hint="eastAsia" w:eastAsia="宋体"/>
          <w:b/>
          <w:bCs w:val="0"/>
          <w:color w:val="auto"/>
          <w:sz w:val="24"/>
          <w:szCs w:val="24"/>
          <w:lang w:val="en-US" w:eastAsia="zh-CN"/>
        </w:rPr>
      </w:pPr>
      <w:r>
        <w:rPr>
          <w:rFonts w:hint="eastAsia" w:eastAsia="宋体"/>
          <w:b w:val="0"/>
          <w:bCs/>
          <w:color w:val="auto"/>
          <w:sz w:val="24"/>
          <w:szCs w:val="24"/>
          <w:lang w:val="en-US" w:eastAsia="zh-CN"/>
        </w:rPr>
        <w:t>3.根据企业会计准则及公司会计政策等相关规定，公司对各类资产进行全面检查和减值测试，公司拟对可能发生资产减值的资产计提相应的减值准备。</w:t>
      </w:r>
    </w:p>
    <w:p w14:paraId="0EC1B5B7">
      <w:pPr>
        <w:adjustRightInd w:val="0"/>
        <w:snapToGrid w:val="0"/>
        <w:spacing w:line="360" w:lineRule="auto"/>
        <w:ind w:firstLine="482" w:firstLineChars="200"/>
        <w:outlineLvl w:val="0"/>
        <w:rPr>
          <w:rFonts w:hint="eastAsia" w:eastAsia="宋体"/>
          <w:b/>
          <w:bCs w:val="0"/>
          <w:color w:val="auto"/>
          <w:sz w:val="24"/>
          <w:szCs w:val="24"/>
          <w:lang w:val="en-US" w:eastAsia="zh-CN"/>
        </w:rPr>
      </w:pPr>
      <w:r>
        <w:rPr>
          <w:rFonts w:hint="eastAsia" w:eastAsia="宋体"/>
          <w:b/>
          <w:bCs w:val="0"/>
          <w:color w:val="auto"/>
          <w:sz w:val="24"/>
          <w:szCs w:val="24"/>
          <w:lang w:val="en-US" w:eastAsia="zh-CN"/>
        </w:rPr>
        <w:t>四、风险提示</w:t>
      </w:r>
    </w:p>
    <w:p w14:paraId="4130E2C9">
      <w:pPr>
        <w:adjustRightInd w:val="0"/>
        <w:snapToGrid w:val="0"/>
        <w:spacing w:line="360" w:lineRule="auto"/>
        <w:ind w:firstLine="480" w:firstLineChars="200"/>
        <w:outlineLvl w:val="0"/>
        <w:rPr>
          <w:rFonts w:hint="eastAsia" w:eastAsia="宋体"/>
          <w:b w:val="0"/>
          <w:bCs/>
          <w:color w:val="auto"/>
          <w:sz w:val="24"/>
          <w:szCs w:val="24"/>
        </w:rPr>
      </w:pPr>
      <w:r>
        <w:rPr>
          <w:rFonts w:hint="eastAsia" w:eastAsia="宋体"/>
          <w:b w:val="0"/>
          <w:bCs/>
          <w:color w:val="auto"/>
          <w:sz w:val="24"/>
          <w:szCs w:val="24"/>
        </w:rPr>
        <w:t>本次业绩预告是初步</w:t>
      </w:r>
      <w:r>
        <w:rPr>
          <w:rFonts w:hint="eastAsia" w:eastAsia="宋体"/>
          <w:b w:val="0"/>
          <w:bCs/>
          <w:color w:val="auto"/>
          <w:sz w:val="24"/>
          <w:szCs w:val="24"/>
          <w:lang w:val="en-US" w:eastAsia="zh-CN"/>
        </w:rPr>
        <w:t>测算的</w:t>
      </w:r>
      <w:r>
        <w:rPr>
          <w:rFonts w:hint="eastAsia" w:eastAsia="宋体"/>
          <w:b w:val="0"/>
          <w:bCs/>
          <w:color w:val="auto"/>
          <w:sz w:val="24"/>
          <w:szCs w:val="24"/>
        </w:rPr>
        <w:t>结果，具体财务数据以公司披露的202</w:t>
      </w:r>
      <w:r>
        <w:rPr>
          <w:rFonts w:hint="eastAsia" w:eastAsia="宋体"/>
          <w:b w:val="0"/>
          <w:bCs/>
          <w:color w:val="auto"/>
          <w:sz w:val="24"/>
          <w:szCs w:val="24"/>
          <w:lang w:val="en-US" w:eastAsia="zh-CN"/>
        </w:rPr>
        <w:t>4</w:t>
      </w:r>
      <w:r>
        <w:rPr>
          <w:rFonts w:hint="eastAsia" w:eastAsia="宋体"/>
          <w:b w:val="0"/>
          <w:bCs/>
          <w:color w:val="auto"/>
          <w:sz w:val="24"/>
          <w:szCs w:val="24"/>
        </w:rPr>
        <w:t>年年度报告为准，敬请广大投资者注意投资风险。</w:t>
      </w:r>
    </w:p>
    <w:p w14:paraId="3A94CDDD">
      <w:pPr>
        <w:snapToGrid w:val="0"/>
        <w:spacing w:line="360" w:lineRule="auto"/>
        <w:ind w:firstLine="480" w:firstLineChars="200"/>
        <w:rPr>
          <w:rFonts w:eastAsia="宋体"/>
          <w:color w:val="auto"/>
          <w:sz w:val="24"/>
          <w:szCs w:val="24"/>
        </w:rPr>
      </w:pPr>
      <w:r>
        <w:rPr>
          <w:rFonts w:eastAsia="宋体"/>
          <w:color w:val="auto"/>
          <w:sz w:val="24"/>
          <w:szCs w:val="24"/>
        </w:rPr>
        <w:t>特此公告。</w:t>
      </w:r>
    </w:p>
    <w:p w14:paraId="49A6C3C1">
      <w:pPr>
        <w:snapToGrid w:val="0"/>
        <w:spacing w:line="360" w:lineRule="auto"/>
        <w:ind w:firstLine="480" w:firstLineChars="200"/>
        <w:rPr>
          <w:rFonts w:eastAsia="宋体"/>
          <w:sz w:val="24"/>
          <w:szCs w:val="24"/>
        </w:rPr>
      </w:pPr>
    </w:p>
    <w:p w14:paraId="6C608C64">
      <w:pPr>
        <w:snapToGrid w:val="0"/>
        <w:spacing w:line="360" w:lineRule="auto"/>
        <w:ind w:firstLine="480" w:firstLineChars="200"/>
        <w:rPr>
          <w:rFonts w:eastAsia="宋体"/>
          <w:sz w:val="24"/>
          <w:szCs w:val="24"/>
        </w:rPr>
      </w:pPr>
    </w:p>
    <w:p w14:paraId="5AE9CF60">
      <w:pPr>
        <w:snapToGrid w:val="0"/>
        <w:spacing w:line="360" w:lineRule="auto"/>
        <w:ind w:firstLine="480" w:firstLineChars="200"/>
        <w:rPr>
          <w:rFonts w:eastAsia="宋体"/>
          <w:sz w:val="24"/>
          <w:szCs w:val="24"/>
        </w:rPr>
      </w:pPr>
    </w:p>
    <w:p w14:paraId="1608485A">
      <w:pPr>
        <w:snapToGrid w:val="0"/>
        <w:spacing w:line="360" w:lineRule="auto"/>
        <w:ind w:firstLine="482" w:firstLineChars="200"/>
        <w:jc w:val="center"/>
        <w:outlineLvl w:val="0"/>
        <w:rPr>
          <w:rFonts w:eastAsia="宋体"/>
          <w:b/>
          <w:sz w:val="24"/>
          <w:szCs w:val="24"/>
        </w:rPr>
      </w:pPr>
      <w:r>
        <w:rPr>
          <w:rFonts w:hint="eastAsia" w:eastAsia="宋体"/>
          <w:b/>
          <w:sz w:val="24"/>
          <w:szCs w:val="24"/>
          <w:lang w:val="en-US" w:eastAsia="zh-CN"/>
        </w:rPr>
        <w:t xml:space="preserve">                                   </w:t>
      </w:r>
      <w:r>
        <w:rPr>
          <w:rFonts w:eastAsia="宋体"/>
          <w:b/>
          <w:sz w:val="24"/>
          <w:szCs w:val="24"/>
        </w:rPr>
        <w:t>中广核核技术发展股份有限公司</w:t>
      </w:r>
    </w:p>
    <w:p w14:paraId="7260A140">
      <w:pPr>
        <w:snapToGrid w:val="0"/>
        <w:spacing w:line="360" w:lineRule="auto"/>
        <w:ind w:firstLine="482" w:firstLineChars="200"/>
        <w:jc w:val="right"/>
        <w:outlineLvl w:val="0"/>
        <w:rPr>
          <w:rFonts w:eastAsia="宋体"/>
          <w:b/>
          <w:sz w:val="24"/>
          <w:szCs w:val="24"/>
        </w:rPr>
      </w:pPr>
      <w:r>
        <w:rPr>
          <w:rFonts w:eastAsia="宋体"/>
          <w:b/>
          <w:sz w:val="24"/>
          <w:szCs w:val="24"/>
        </w:rPr>
        <w:t>董事会</w:t>
      </w:r>
    </w:p>
    <w:p w14:paraId="78312B0F">
      <w:pPr>
        <w:snapToGrid w:val="0"/>
        <w:spacing w:line="360" w:lineRule="auto"/>
        <w:ind w:firstLine="482" w:firstLineChars="200"/>
        <w:jc w:val="right"/>
        <w:outlineLvl w:val="0"/>
        <w:rPr>
          <w:b/>
          <w:color w:val="auto"/>
          <w:sz w:val="24"/>
          <w:szCs w:val="24"/>
        </w:rPr>
      </w:pPr>
      <w:r>
        <w:rPr>
          <w:rFonts w:eastAsia="宋体"/>
          <w:b/>
          <w:color w:val="auto"/>
          <w:sz w:val="24"/>
          <w:szCs w:val="24"/>
        </w:rPr>
        <w:t>202</w:t>
      </w:r>
      <w:r>
        <w:rPr>
          <w:rFonts w:hint="eastAsia" w:eastAsia="宋体"/>
          <w:b/>
          <w:color w:val="auto"/>
          <w:sz w:val="24"/>
          <w:szCs w:val="24"/>
          <w:lang w:val="en-US" w:eastAsia="zh-CN"/>
        </w:rPr>
        <w:t>5</w:t>
      </w:r>
      <w:r>
        <w:rPr>
          <w:rFonts w:eastAsia="宋体"/>
          <w:b/>
          <w:color w:val="auto"/>
          <w:sz w:val="24"/>
          <w:szCs w:val="24"/>
        </w:rPr>
        <w:t>年</w:t>
      </w:r>
      <w:r>
        <w:rPr>
          <w:rFonts w:hint="eastAsia" w:eastAsia="宋体"/>
          <w:b/>
          <w:color w:val="auto"/>
          <w:sz w:val="24"/>
          <w:szCs w:val="24"/>
        </w:rPr>
        <w:t>1</w:t>
      </w:r>
      <w:r>
        <w:rPr>
          <w:rFonts w:eastAsia="宋体"/>
          <w:b/>
          <w:color w:val="auto"/>
          <w:sz w:val="24"/>
          <w:szCs w:val="24"/>
        </w:rPr>
        <w:t>月</w:t>
      </w:r>
      <w:r>
        <w:rPr>
          <w:rFonts w:hint="eastAsia" w:eastAsia="宋体"/>
          <w:b/>
          <w:color w:val="auto"/>
          <w:sz w:val="24"/>
          <w:szCs w:val="24"/>
          <w:lang w:val="en-US" w:eastAsia="zh-CN"/>
        </w:rPr>
        <w:t>18</w:t>
      </w:r>
      <w:r>
        <w:rPr>
          <w:rFonts w:eastAsia="宋体"/>
          <w:b/>
          <w:color w:val="auto"/>
          <w:sz w:val="24"/>
          <w:szCs w:val="24"/>
        </w:rPr>
        <w:t>日</w:t>
      </w:r>
    </w:p>
    <w:p w14:paraId="76CFF2BB"/>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2E0647"/>
    <w:rsid w:val="00427A49"/>
    <w:rsid w:val="04323D3B"/>
    <w:rsid w:val="05062F56"/>
    <w:rsid w:val="05F71172"/>
    <w:rsid w:val="064055CE"/>
    <w:rsid w:val="06A94C49"/>
    <w:rsid w:val="07036991"/>
    <w:rsid w:val="07115CA7"/>
    <w:rsid w:val="075F3828"/>
    <w:rsid w:val="08545039"/>
    <w:rsid w:val="0E8B113B"/>
    <w:rsid w:val="102E0647"/>
    <w:rsid w:val="10BA5E3B"/>
    <w:rsid w:val="120A3E26"/>
    <w:rsid w:val="12280E57"/>
    <w:rsid w:val="1250459A"/>
    <w:rsid w:val="18AB3604"/>
    <w:rsid w:val="1948000B"/>
    <w:rsid w:val="19DE7F6F"/>
    <w:rsid w:val="1BD163B0"/>
    <w:rsid w:val="1DCA77EF"/>
    <w:rsid w:val="20C50451"/>
    <w:rsid w:val="21A346F6"/>
    <w:rsid w:val="21AC1386"/>
    <w:rsid w:val="23A75F8B"/>
    <w:rsid w:val="23A9148E"/>
    <w:rsid w:val="263C7249"/>
    <w:rsid w:val="26B03985"/>
    <w:rsid w:val="2742617D"/>
    <w:rsid w:val="27A32433"/>
    <w:rsid w:val="2C0E7654"/>
    <w:rsid w:val="2C3C4CA0"/>
    <w:rsid w:val="2CFC72DD"/>
    <w:rsid w:val="2D867A9A"/>
    <w:rsid w:val="2E0B0177"/>
    <w:rsid w:val="2FA417BA"/>
    <w:rsid w:val="300F0E69"/>
    <w:rsid w:val="303B192D"/>
    <w:rsid w:val="30DA3DB5"/>
    <w:rsid w:val="32994C8F"/>
    <w:rsid w:val="33340711"/>
    <w:rsid w:val="33DB4886"/>
    <w:rsid w:val="36441083"/>
    <w:rsid w:val="3AB962FE"/>
    <w:rsid w:val="3AEC58FD"/>
    <w:rsid w:val="3EE5525A"/>
    <w:rsid w:val="3FC96047"/>
    <w:rsid w:val="439C027C"/>
    <w:rsid w:val="43DC367F"/>
    <w:rsid w:val="43F4670C"/>
    <w:rsid w:val="46DE70D4"/>
    <w:rsid w:val="4A8C77D9"/>
    <w:rsid w:val="4CC43F81"/>
    <w:rsid w:val="4D971D5B"/>
    <w:rsid w:val="4E71567A"/>
    <w:rsid w:val="50213603"/>
    <w:rsid w:val="548D0313"/>
    <w:rsid w:val="55B46A72"/>
    <w:rsid w:val="55DB79EC"/>
    <w:rsid w:val="57216398"/>
    <w:rsid w:val="5793305E"/>
    <w:rsid w:val="57FF3ADF"/>
    <w:rsid w:val="598C48FA"/>
    <w:rsid w:val="59F11E47"/>
    <w:rsid w:val="5C140AE1"/>
    <w:rsid w:val="5D67264C"/>
    <w:rsid w:val="5F620534"/>
    <w:rsid w:val="5F62370B"/>
    <w:rsid w:val="60AA156C"/>
    <w:rsid w:val="62031A89"/>
    <w:rsid w:val="63107694"/>
    <w:rsid w:val="63DB0061"/>
    <w:rsid w:val="642F7AEC"/>
    <w:rsid w:val="6904416E"/>
    <w:rsid w:val="69E32EC5"/>
    <w:rsid w:val="6ACC4766"/>
    <w:rsid w:val="6B135C1A"/>
    <w:rsid w:val="6C4504B1"/>
    <w:rsid w:val="70F91769"/>
    <w:rsid w:val="71263CC4"/>
    <w:rsid w:val="7357790D"/>
    <w:rsid w:val="74F03568"/>
    <w:rsid w:val="75003802"/>
    <w:rsid w:val="753179E2"/>
    <w:rsid w:val="76A806BB"/>
    <w:rsid w:val="76ED73FC"/>
    <w:rsid w:val="76F0487A"/>
    <w:rsid w:val="78D4228A"/>
    <w:rsid w:val="78DB7356"/>
    <w:rsid w:val="798B16F8"/>
    <w:rsid w:val="79F223A1"/>
    <w:rsid w:val="7C7C31D1"/>
    <w:rsid w:val="7D292166"/>
    <w:rsid w:val="7E8B649F"/>
    <w:rsid w:val="7EE72085"/>
    <w:rsid w:val="7F573B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5">
    <w:name w:val="No Spacing"/>
    <w:qFormat/>
    <w:uiPriority w:val="1"/>
    <w:rPr>
      <w:rFonts w:ascii="Calibri" w:hAnsi="Calibri" w:eastAsia="宋体" w:cs="Times New Roman"/>
      <w:sz w:val="22"/>
      <w:szCs w:val="22"/>
      <w:lang w:val="en-US" w:eastAsia="zh-CN" w:bidi="ar-SA"/>
    </w:rPr>
  </w:style>
  <w:style w:type="character" w:customStyle="1" w:styleId="6">
    <w:name w:val="font31"/>
    <w:basedOn w:val="4"/>
    <w:qFormat/>
    <w:uiPriority w:val="0"/>
    <w:rPr>
      <w:rFonts w:hint="default" w:ascii="Times New Roman" w:hAnsi="Times New Roman" w:cs="Times New Roman"/>
      <w:color w:val="FF0000"/>
      <w:sz w:val="24"/>
      <w:szCs w:val="24"/>
      <w:u w:val="none"/>
    </w:rPr>
  </w:style>
  <w:style w:type="character" w:customStyle="1" w:styleId="7">
    <w:name w:val="font01"/>
    <w:basedOn w:val="4"/>
    <w:qFormat/>
    <w:uiPriority w:val="0"/>
    <w:rPr>
      <w:rFonts w:hint="eastAsia" w:ascii="宋体" w:hAnsi="宋体" w:eastAsia="宋体" w:cs="宋体"/>
      <w:color w:val="FF0000"/>
      <w:sz w:val="24"/>
      <w:szCs w:val="24"/>
      <w:u w:val="none"/>
    </w:rPr>
  </w:style>
  <w:style w:type="character" w:customStyle="1" w:styleId="8">
    <w:name w:val="font41"/>
    <w:basedOn w:val="4"/>
    <w:qFormat/>
    <w:uiPriority w:val="0"/>
    <w:rPr>
      <w:rFonts w:hint="default" w:ascii="Times New Roman" w:hAnsi="Times New Roman" w:cs="Times New Roman"/>
      <w:color w:val="000000"/>
      <w:sz w:val="24"/>
      <w:szCs w:val="24"/>
      <w:u w:val="none"/>
    </w:rPr>
  </w:style>
  <w:style w:type="character" w:customStyle="1" w:styleId="9">
    <w:name w:val="font2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803</Words>
  <Characters>912</Characters>
  <Lines>0</Lines>
  <Paragraphs>0</Paragraphs>
  <TotalTime>22</TotalTime>
  <ScaleCrop>false</ScaleCrop>
  <LinksUpToDate>false</LinksUpToDate>
  <CharactersWithSpaces>949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2025-01-14T16:55:00Z</dcterms:created>
  <dc:creator>未定义</dc:creator>
  <cp:lastModifiedBy>海涛</cp:lastModifiedBy>
  <cp:lastPrinted>2025-01-15T14:21:00Z</cp:lastPrinted>
  <dcterms:modified xsi:type="dcterms:W3CDTF">2025-01-17T07:54:40Z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61C60291AEA84EBABFB3738EE53845F9</vt:lpwstr>
  </property>
  <property fmtid="{D5CDD505-2E9C-101B-9397-08002B2CF9AE}" pid="4" name="KSOTemplateDocerSaveRecord">
    <vt:lpwstr>eyJoZGlkIjoiZWRkOGZjOWY1YzhhOWRkYTczNjQzNDkyYzhmNDA5ODEiLCJ1c2VySWQiOiIzNjg4OTEzODkifQ==</vt:lpwstr>
  </property>
</Properties>
</file>